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F83A" w14:textId="77777777" w:rsidR="002A799A" w:rsidRPr="00DE764D" w:rsidRDefault="00F30D78" w:rsidP="00DE764D">
      <w:pPr>
        <w:tabs>
          <w:tab w:val="left" w:pos="4820"/>
        </w:tabs>
        <w:spacing w:line="276" w:lineRule="auto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 wp14:anchorId="115D3888" wp14:editId="404E6EE8">
            <wp:simplePos x="0" y="0"/>
            <wp:positionH relativeFrom="margin">
              <wp:align>center</wp:align>
            </wp:positionH>
            <wp:positionV relativeFrom="margin">
              <wp:posOffset>-586105</wp:posOffset>
            </wp:positionV>
            <wp:extent cx="1655445" cy="1564640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6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3BC29" w14:textId="77777777"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16264ABD" w14:textId="77777777" w:rsidR="00F30D78" w:rsidRDefault="00F30D78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560DDFF8" w14:textId="77777777" w:rsidR="00F30D78" w:rsidRDefault="00F30D78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6D56067B" w14:textId="77777777" w:rsidR="00F30D78" w:rsidRDefault="00F30D78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18439146" w14:textId="77777777" w:rsidR="00F30D78" w:rsidRDefault="00F30D78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7328F62E" w14:textId="77777777" w:rsidR="00DE764D" w:rsidRPr="00DE764D" w:rsidRDefault="00DE764D" w:rsidP="00DE764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DE764D">
        <w:rPr>
          <w:rFonts w:ascii="Century Gothic" w:hAnsi="Century Gothic" w:cs="Arial"/>
          <w:b/>
          <w:sz w:val="22"/>
          <w:szCs w:val="22"/>
        </w:rPr>
        <w:t>PANNEAU RAYONNANT</w:t>
      </w:r>
    </w:p>
    <w:p w14:paraId="0579350E" w14:textId="77777777" w:rsidR="00DE764D" w:rsidRPr="00DE764D" w:rsidRDefault="00F30D78" w:rsidP="00DE764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>
        <w:rPr>
          <w:rFonts w:ascii="Century Gothic" w:hAnsi="Century Gothic" w:cs="Arial"/>
          <w:color w:val="FF0000"/>
          <w:sz w:val="22"/>
          <w:szCs w:val="22"/>
        </w:rPr>
        <w:t>RSCD 2</w:t>
      </w:r>
    </w:p>
    <w:p w14:paraId="15F514C2" w14:textId="77777777" w:rsidR="00DE764D" w:rsidRPr="0097304F" w:rsidRDefault="00DE764D" w:rsidP="00DE764D">
      <w:pPr>
        <w:tabs>
          <w:tab w:val="left" w:pos="4820"/>
        </w:tabs>
        <w:spacing w:line="276" w:lineRule="auto"/>
        <w:ind w:left="-709"/>
        <w:jc w:val="center"/>
        <w:rPr>
          <w:rFonts w:ascii="Century Gothic" w:hAnsi="Century Gothic" w:cs="Arial"/>
          <w:color w:val="FF0000"/>
          <w:sz w:val="20"/>
          <w:szCs w:val="16"/>
        </w:rPr>
      </w:pPr>
    </w:p>
    <w:p w14:paraId="762A1291" w14:textId="557B3795"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Les émetteurs électriques seront de marque</w:t>
      </w:r>
      <w:r>
        <w:rPr>
          <w:rFonts w:ascii="Century Gothic" w:hAnsi="Century Gothic"/>
          <w:sz w:val="20"/>
          <w:szCs w:val="20"/>
        </w:rPr>
        <w:t xml:space="preserve"> </w:t>
      </w:r>
      <w:r w:rsidRPr="00DE764D">
        <w:rPr>
          <w:rFonts w:ascii="Century Gothic" w:hAnsi="Century Gothic"/>
          <w:sz w:val="20"/>
          <w:szCs w:val="20"/>
        </w:rPr>
        <w:t xml:space="preserve">Thermor, modèles </w:t>
      </w:r>
      <w:r w:rsidR="00F34861">
        <w:rPr>
          <w:rFonts w:ascii="Century Gothic" w:hAnsi="Century Gothic"/>
          <w:sz w:val="20"/>
          <w:szCs w:val="20"/>
        </w:rPr>
        <w:t>RSCD 2</w:t>
      </w:r>
      <w:r w:rsidRPr="00DE764D">
        <w:rPr>
          <w:rFonts w:ascii="Century Gothic" w:hAnsi="Century Gothic"/>
          <w:sz w:val="20"/>
          <w:szCs w:val="20"/>
        </w:rPr>
        <w:t>, type panneaux rayonnants, et équipés du Pilotage Intelligent</w:t>
      </w:r>
      <w:r w:rsidR="00181E60"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14:paraId="47173871" w14:textId="77777777"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</w:p>
    <w:p w14:paraId="60DD12F4" w14:textId="77777777"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Ils auront les caractéristiques suivantes :</w:t>
      </w:r>
    </w:p>
    <w:p w14:paraId="1C2CF48F" w14:textId="77777777" w:rsid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</w:p>
    <w:p w14:paraId="03AEC43B" w14:textId="77777777"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Puissances disponibles : de 300W à 2000W en format horizontal et 1000W, 1500W, 2000W en format vertical</w:t>
      </w:r>
    </w:p>
    <w:p w14:paraId="62AABA56" w14:textId="77777777"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Largueur H 1000W = 527 mm</w:t>
      </w:r>
    </w:p>
    <w:p w14:paraId="4ABB6A34" w14:textId="77777777"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Coefficient d’aptitude de 0,1.</w:t>
      </w:r>
    </w:p>
    <w:p w14:paraId="12E63B7D" w14:textId="77777777"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NF Électricité Performance - Catégorie 3 étoiles-œil, Classe II et IP 24. Eligible CEE. </w:t>
      </w:r>
    </w:p>
    <w:p w14:paraId="2584E1C9" w14:textId="77777777" w:rsidR="000B671A" w:rsidRP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0B671A">
        <w:rPr>
          <w:rFonts w:ascii="Century Gothic" w:hAnsi="Century Gothic"/>
          <w:sz w:val="20"/>
          <w:szCs w:val="20"/>
        </w:rPr>
        <w:t>Fil Pilote</w:t>
      </w:r>
      <w:r>
        <w:rPr>
          <w:rFonts w:ascii="Century Gothic" w:hAnsi="Century Gothic"/>
          <w:sz w:val="20"/>
          <w:szCs w:val="20"/>
        </w:rPr>
        <w:t xml:space="preserve"> 6 </w:t>
      </w:r>
      <w:r w:rsidRPr="000B671A">
        <w:rPr>
          <w:rFonts w:ascii="Century Gothic" w:hAnsi="Century Gothic"/>
          <w:sz w:val="20"/>
          <w:szCs w:val="20"/>
        </w:rPr>
        <w:t>ordres compatible avec les systèmes de programmation centralisée.</w:t>
      </w:r>
    </w:p>
    <w:p w14:paraId="75D69869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Corps de chauffe en aluminium extrudé avec diffuseur à grande surface d’émission. </w:t>
      </w:r>
    </w:p>
    <w:p w14:paraId="44A1DD6B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Régulation électronique numérique à compensation de dérive, de précision 0,1°C. </w:t>
      </w:r>
    </w:p>
    <w:p w14:paraId="10B833A8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Boitier de commande digital tactile avec touches « coupelles » pour une utilisation optimale.</w:t>
      </w:r>
    </w:p>
    <w:p w14:paraId="05A26916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Programmation modifiable journalière intégrée.</w:t>
      </w:r>
    </w:p>
    <w:p w14:paraId="42A6152F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Indicateurs de consommation énergétique :</w:t>
      </w:r>
    </w:p>
    <w:p w14:paraId="78877BA5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Indicateur de consommation visuel (échelle de couleur sur le boîtier).</w:t>
      </w:r>
    </w:p>
    <w:p w14:paraId="009F6567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Estimation de la consommation en kW et euros.</w:t>
      </w:r>
    </w:p>
    <w:p w14:paraId="7E01C8A7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14:paraId="257B9D44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Accès restreint activable facilement pour :</w:t>
      </w:r>
    </w:p>
    <w:p w14:paraId="124CFC9E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Brider la température à une température maximale de 23°C.</w:t>
      </w:r>
    </w:p>
    <w:p w14:paraId="2E83F4BE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Enclencher la fonction anti-chauffe compulsive.</w:t>
      </w:r>
    </w:p>
    <w:p w14:paraId="1750F178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Sécuriser l’accès au menu expert par code PIN.</w:t>
      </w:r>
    </w:p>
    <w:p w14:paraId="174C5745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Pilotage Intelligent</w:t>
      </w:r>
    </w:p>
    <w:p w14:paraId="66BCC143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Auto-programmation : mémorisation automatique du rythme de vie.</w:t>
      </w:r>
    </w:p>
    <w:p w14:paraId="724F2751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chauffe.</w:t>
      </w:r>
    </w:p>
    <w:p w14:paraId="61A4318E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Détection d’occupation : </w:t>
      </w:r>
    </w:p>
    <w:p w14:paraId="730DFA69" w14:textId="77777777" w:rsidR="00DE764D" w:rsidRPr="00DE764D" w:rsidRDefault="00DE764D" w:rsidP="00DE764D">
      <w:pPr>
        <w:numPr>
          <w:ilvl w:val="2"/>
          <w:numId w:val="1"/>
        </w:numPr>
        <w:spacing w:line="276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Système de détection d’absence et présence optimale grâce à deux capteurs : Capteur de mouvement (infrarouge) et Capteur de luminosité. La combinaison de ces deux capteurs permet d’éviter les détections intempestives (détections nocturnes). </w:t>
      </w:r>
    </w:p>
    <w:p w14:paraId="7A4C8893" w14:textId="77777777" w:rsidR="00DE764D" w:rsidRPr="00DE764D" w:rsidRDefault="00DE764D" w:rsidP="00DE764D">
      <w:pPr>
        <w:numPr>
          <w:ilvl w:val="2"/>
          <w:numId w:val="1"/>
        </w:numPr>
        <w:spacing w:line="276" w:lineRule="auto"/>
        <w:ind w:left="1560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Ne détecte pas les animaux &lt;40 cm. </w:t>
      </w:r>
    </w:p>
    <w:p w14:paraId="6520681C" w14:textId="77777777" w:rsidR="00DE764D" w:rsidRPr="00DE764D" w:rsidRDefault="00DE764D" w:rsidP="00DE764D">
      <w:pPr>
        <w:numPr>
          <w:ilvl w:val="2"/>
          <w:numId w:val="1"/>
        </w:numPr>
        <w:spacing w:line="276" w:lineRule="auto"/>
        <w:ind w:left="1418" w:hanging="218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lastRenderedPageBreak/>
        <w:t>Détection d’absence : abaissement progressif de la température (mode Confort -1 en 30 min maximum, en mode Confort -2 en 1h maximum en cas d’absence puis en mode hors gel en 72h).</w:t>
      </w:r>
    </w:p>
    <w:p w14:paraId="2746EBFD" w14:textId="77777777" w:rsidR="00DE764D" w:rsidRPr="00DE764D" w:rsidRDefault="00DE764D" w:rsidP="00DE764D">
      <w:pPr>
        <w:numPr>
          <w:ilvl w:val="2"/>
          <w:numId w:val="1"/>
        </w:numPr>
        <w:spacing w:line="276" w:lineRule="auto"/>
        <w:ind w:left="1560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Détection de présence : retour en mode confort immédiat.</w:t>
      </w:r>
    </w:p>
    <w:p w14:paraId="66D81F60" w14:textId="77777777" w:rsidR="00DE764D" w:rsidRPr="000B671A" w:rsidRDefault="00DE764D" w:rsidP="000B671A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Détection automatique des ouvertures/fermetures de fenêtres.</w:t>
      </w:r>
    </w:p>
    <w:p w14:paraId="0C38973F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Connect</w:t>
      </w:r>
      <w:r w:rsidR="00F30D78">
        <w:rPr>
          <w:rFonts w:ascii="Century Gothic" w:hAnsi="Century Gothic"/>
          <w:sz w:val="20"/>
          <w:szCs w:val="20"/>
        </w:rPr>
        <w:t xml:space="preserve">able via Cozytouch et Interface </w:t>
      </w:r>
      <w:proofErr w:type="spellStart"/>
      <w:r w:rsidR="00F30D78">
        <w:rPr>
          <w:rFonts w:ascii="Century Gothic" w:hAnsi="Century Gothic"/>
          <w:sz w:val="20"/>
          <w:szCs w:val="20"/>
        </w:rPr>
        <w:t>Pass</w:t>
      </w:r>
      <w:proofErr w:type="spellEnd"/>
      <w:r w:rsidR="00F30D78">
        <w:rPr>
          <w:rFonts w:ascii="Century Gothic" w:hAnsi="Century Gothic"/>
          <w:sz w:val="20"/>
          <w:szCs w:val="20"/>
        </w:rPr>
        <w:t xml:space="preserve"> IO</w:t>
      </w:r>
      <w:r w:rsidRPr="00DE764D">
        <w:rPr>
          <w:rFonts w:ascii="Century Gothic" w:hAnsi="Century Gothic"/>
          <w:sz w:val="20"/>
          <w:szCs w:val="20"/>
        </w:rPr>
        <w:t> :</w:t>
      </w:r>
    </w:p>
    <w:p w14:paraId="720EF88B" w14:textId="77777777"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Possibilité de contrôler les appareils à distance via smartphone (</w:t>
      </w:r>
      <w:r w:rsidR="00F30D78">
        <w:rPr>
          <w:rFonts w:ascii="Century Gothic" w:hAnsi="Century Gothic"/>
          <w:sz w:val="20"/>
          <w:szCs w:val="20"/>
        </w:rPr>
        <w:t>gestion 6 ordres Fil Pilote</w:t>
      </w:r>
      <w:r w:rsidRPr="00DE764D">
        <w:rPr>
          <w:rFonts w:ascii="Century Gothic" w:hAnsi="Century Gothic"/>
          <w:sz w:val="20"/>
          <w:szCs w:val="20"/>
        </w:rPr>
        <w:t>).</w:t>
      </w:r>
    </w:p>
    <w:p w14:paraId="4361D03A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Support mural en « H », servant de gabarit de pose pour une installation simple et rapide.</w:t>
      </w:r>
    </w:p>
    <w:p w14:paraId="1A7E11EC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Compatible avec l’accessoire « </w:t>
      </w:r>
      <w:proofErr w:type="spellStart"/>
      <w:r w:rsidRPr="00DE764D">
        <w:rPr>
          <w:rFonts w:ascii="Century Gothic" w:hAnsi="Century Gothic"/>
          <w:sz w:val="20"/>
          <w:szCs w:val="20"/>
        </w:rPr>
        <w:t>Agifix</w:t>
      </w:r>
      <w:proofErr w:type="spellEnd"/>
      <w:r w:rsidRPr="00DE764D">
        <w:rPr>
          <w:rFonts w:ascii="Century Gothic" w:hAnsi="Century Gothic"/>
          <w:sz w:val="20"/>
          <w:szCs w:val="20"/>
        </w:rPr>
        <w:t> » permettant le remplacement de tous les convecteurs du marché sans repercer de trous. Idéal pour les bâtiments amiantés.</w:t>
      </w:r>
    </w:p>
    <w:p w14:paraId="71823DD5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Service express 24H de pièces détachées gratuit inclus dans le cadre de la garantie contractuelle de 2 ans.</w:t>
      </w:r>
    </w:p>
    <w:p w14:paraId="2C8B0FF0" w14:textId="77777777"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Fabrication française. </w:t>
      </w:r>
    </w:p>
    <w:p w14:paraId="6DEF31E4" w14:textId="77777777" w:rsidR="00855C7C" w:rsidRPr="00DE764D" w:rsidRDefault="00855C7C" w:rsidP="00DE764D">
      <w:pPr>
        <w:tabs>
          <w:tab w:val="left" w:pos="4820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sectPr w:rsidR="00855C7C" w:rsidRPr="00DE764D" w:rsidSect="002A799A">
      <w:headerReference w:type="default" r:id="rId12"/>
      <w:footerReference w:type="default" r:id="rId13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ACD1B" w14:textId="77777777" w:rsidR="0070334C" w:rsidRDefault="0070334C" w:rsidP="00F06159">
      <w:r>
        <w:separator/>
      </w:r>
    </w:p>
  </w:endnote>
  <w:endnote w:type="continuationSeparator" w:id="0">
    <w:p w14:paraId="22C41514" w14:textId="77777777" w:rsidR="0070334C" w:rsidRDefault="0070334C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951F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713916A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4BE7078" w14:textId="77777777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18ED60B8" w14:textId="7777777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495CB" w14:textId="77777777" w:rsidR="0070334C" w:rsidRDefault="0070334C" w:rsidP="00F06159">
      <w:r>
        <w:separator/>
      </w:r>
    </w:p>
  </w:footnote>
  <w:footnote w:type="continuationSeparator" w:id="0">
    <w:p w14:paraId="7F7C2FAF" w14:textId="77777777" w:rsidR="0070334C" w:rsidRDefault="0070334C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C462" w14:textId="77777777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33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B671A"/>
    <w:rsid w:val="000C1307"/>
    <w:rsid w:val="00151BF3"/>
    <w:rsid w:val="00171BA9"/>
    <w:rsid w:val="00181E60"/>
    <w:rsid w:val="001D148A"/>
    <w:rsid w:val="00231748"/>
    <w:rsid w:val="002A799A"/>
    <w:rsid w:val="00386147"/>
    <w:rsid w:val="0039497C"/>
    <w:rsid w:val="003A79E2"/>
    <w:rsid w:val="003C79A4"/>
    <w:rsid w:val="004360EC"/>
    <w:rsid w:val="005176AA"/>
    <w:rsid w:val="006E242B"/>
    <w:rsid w:val="0070334C"/>
    <w:rsid w:val="00764BB8"/>
    <w:rsid w:val="007861D8"/>
    <w:rsid w:val="00815AC7"/>
    <w:rsid w:val="00855C7C"/>
    <w:rsid w:val="00871D93"/>
    <w:rsid w:val="008815E3"/>
    <w:rsid w:val="00883910"/>
    <w:rsid w:val="00963CC5"/>
    <w:rsid w:val="00A147AE"/>
    <w:rsid w:val="00CB3F7E"/>
    <w:rsid w:val="00D60014"/>
    <w:rsid w:val="00D62D36"/>
    <w:rsid w:val="00DA64B6"/>
    <w:rsid w:val="00DD7EDD"/>
    <w:rsid w:val="00DE764D"/>
    <w:rsid w:val="00DF11D0"/>
    <w:rsid w:val="00E86F0A"/>
    <w:rsid w:val="00EC73F8"/>
    <w:rsid w:val="00F06159"/>
    <w:rsid w:val="00F30D78"/>
    <w:rsid w:val="00F34861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F069B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57B540BED5143B1231A0B8820AA94" ma:contentTypeVersion="16" ma:contentTypeDescription="Crée un document." ma:contentTypeScope="" ma:versionID="6ab43d2352bc7b15c04626ab77b7b45d">
  <xsd:schema xmlns:xsd="http://www.w3.org/2001/XMLSchema" xmlns:xs="http://www.w3.org/2001/XMLSchema" xmlns:p="http://schemas.microsoft.com/office/2006/metadata/properties" xmlns:ns2="e1c0b8f5-fcb1-4b6b-a12f-31abda059fdd" xmlns:ns3="7deefe2e-06e9-46d8-a958-7bc9996f40f2" targetNamespace="http://schemas.microsoft.com/office/2006/metadata/properties" ma:root="true" ma:fieldsID="b5e7225e5f0efd227e191c4c25f060af" ns2:_="" ns3:_="">
    <xsd:import namespace="e1c0b8f5-fcb1-4b6b-a12f-31abda059fdd"/>
    <xsd:import namespace="7deefe2e-06e9-46d8-a958-7bc9996f4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0b8f5-fcb1-4b6b-a12f-31abda059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b1b875-2916-4e2f-a0e1-6e72cc47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fe2e-06e9-46d8-a958-7bc9996f4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e26d3a-508b-4aee-8ae2-6571bf4de0a4}" ma:internalName="TaxCatchAll" ma:showField="CatchAllData" ma:web="7deefe2e-06e9-46d8-a958-7bc9996f4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efe2e-06e9-46d8-a958-7bc9996f40f2" xsi:nil="true"/>
    <lcf76f155ced4ddcb4097134ff3c332f xmlns="e1c0b8f5-fcb1-4b6b-a12f-31abda059f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F165DB-F107-40FD-84DB-DAC5CFF4DF72}"/>
</file>

<file path=customXml/itemProps2.xml><?xml version="1.0" encoding="utf-8"?>
<ds:datastoreItem xmlns:ds="http://schemas.openxmlformats.org/officeDocument/2006/customXml" ds:itemID="{007D5780-D038-46AC-8BAC-3AF4BD0C3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50F75-D9BD-414D-A6DD-8965ADC70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22FF3-692F-4F48-9919-153A399C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Lilian LIEVRE</cp:lastModifiedBy>
  <cp:revision>7</cp:revision>
  <dcterms:created xsi:type="dcterms:W3CDTF">2020-02-12T16:49:00Z</dcterms:created>
  <dcterms:modified xsi:type="dcterms:W3CDTF">2020-09-23T13:30:00Z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0x01010080257B540BED5143B1231A0B8820AA94</vt:lpwstr>
  </property>
</Properties>
</file>