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80D5" w14:textId="7B3339AC" w:rsidR="00F35E83" w:rsidRDefault="00540865" w:rsidP="00855C7C">
      <w:pPr>
        <w:spacing w:line="270" w:lineRule="exact"/>
        <w:ind w:left="4366"/>
        <w:rPr>
          <w:rFonts w:ascii="Verdana" w:hAnsi="Verdana"/>
          <w:sz w:val="19"/>
          <w:szCs w:val="19"/>
        </w:rPr>
      </w:pPr>
      <w:r w:rsidRPr="00E659AF">
        <w:rPr>
          <w:noProof/>
        </w:rPr>
        <w:drawing>
          <wp:anchor distT="0" distB="0" distL="114300" distR="114300" simplePos="0" relativeHeight="251658240" behindDoc="0" locked="0" layoutInCell="1" allowOverlap="1" wp14:anchorId="792A6FF4" wp14:editId="4BCDDADC">
            <wp:simplePos x="0" y="0"/>
            <wp:positionH relativeFrom="margin">
              <wp:align>center</wp:align>
            </wp:positionH>
            <wp:positionV relativeFrom="margin">
              <wp:posOffset>-533400</wp:posOffset>
            </wp:positionV>
            <wp:extent cx="1295400" cy="142938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532C9" w14:textId="77777777" w:rsidR="00540865" w:rsidRPr="00DA5C07" w:rsidRDefault="00540865" w:rsidP="00F35E83">
      <w:pPr>
        <w:spacing w:line="270" w:lineRule="exact"/>
        <w:rPr>
          <w:rFonts w:ascii="Verdana" w:hAnsi="Verdana"/>
          <w:sz w:val="19"/>
          <w:szCs w:val="19"/>
        </w:rPr>
      </w:pPr>
      <w:bookmarkStart w:id="0" w:name="_Hlk32315188"/>
      <w:bookmarkEnd w:id="0"/>
    </w:p>
    <w:p w14:paraId="0430BE0F" w14:textId="77777777" w:rsidR="00855C7C" w:rsidRDefault="00855C7C" w:rsidP="00540865">
      <w:pPr>
        <w:tabs>
          <w:tab w:val="left" w:pos="-1418"/>
        </w:tabs>
        <w:spacing w:line="360" w:lineRule="auto"/>
        <w:rPr>
          <w:rFonts w:ascii="Verdana" w:hAnsi="Verdana"/>
          <w:sz w:val="19"/>
          <w:szCs w:val="19"/>
        </w:rPr>
      </w:pPr>
    </w:p>
    <w:p w14:paraId="121DE7DA" w14:textId="77777777" w:rsidR="00540865" w:rsidRPr="008F4E35" w:rsidRDefault="00540865" w:rsidP="00540865">
      <w:pPr>
        <w:spacing w:line="360" w:lineRule="auto"/>
        <w:jc w:val="center"/>
        <w:rPr>
          <w:rFonts w:ascii="Century Gothic" w:hAnsi="Century Gothic"/>
          <w:b/>
          <w:color w:val="FF0000"/>
          <w:sz w:val="22"/>
          <w:szCs w:val="22"/>
        </w:rPr>
      </w:pPr>
      <w:r w:rsidRPr="008F4E35">
        <w:rPr>
          <w:rFonts w:ascii="Century Gothic" w:hAnsi="Century Gothic" w:cs="Arial"/>
          <w:b/>
          <w:sz w:val="22"/>
          <w:szCs w:val="22"/>
        </w:rPr>
        <w:t xml:space="preserve">CHAUFFE-EAU ELECTRIQUE – </w:t>
      </w:r>
      <w:r w:rsidRPr="008F4E35">
        <w:rPr>
          <w:rFonts w:ascii="Century Gothic" w:hAnsi="Century Gothic" w:cs="OfficinaSans-Bold"/>
          <w:b/>
          <w:bCs/>
          <w:sz w:val="22"/>
          <w:szCs w:val="22"/>
        </w:rPr>
        <w:t>RÉSISTANCE BLINDÉE + PROTECTION PAR ANODE MAGNÉSIUM</w:t>
      </w:r>
      <w:r w:rsidRPr="008F4E35">
        <w:rPr>
          <w:rFonts w:ascii="Century Gothic" w:hAnsi="Century Gothic"/>
          <w:b/>
          <w:color w:val="C00000"/>
          <w:sz w:val="22"/>
          <w:szCs w:val="22"/>
        </w:rPr>
        <w:t xml:space="preserve"> </w:t>
      </w:r>
    </w:p>
    <w:p w14:paraId="65AB9DF7" w14:textId="6F2FA6C6" w:rsidR="00540865" w:rsidRPr="008F4E35" w:rsidRDefault="00540865" w:rsidP="00540865">
      <w:pPr>
        <w:spacing w:line="360" w:lineRule="auto"/>
        <w:jc w:val="center"/>
        <w:rPr>
          <w:rFonts w:ascii="Century Gothic" w:hAnsi="Century Gothic"/>
          <w:color w:val="C00000"/>
          <w:sz w:val="22"/>
          <w:szCs w:val="22"/>
        </w:rPr>
      </w:pPr>
      <w:r w:rsidRPr="008F4E35">
        <w:rPr>
          <w:rFonts w:ascii="Century Gothic" w:hAnsi="Century Gothic"/>
          <w:color w:val="FF0000"/>
          <w:sz w:val="22"/>
          <w:szCs w:val="22"/>
        </w:rPr>
        <w:t>RISTRETTO CARRE THERMOR</w:t>
      </w:r>
    </w:p>
    <w:p w14:paraId="03D80B4A" w14:textId="77777777" w:rsidR="00540865" w:rsidRPr="00540865" w:rsidRDefault="00540865" w:rsidP="00540865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OfficinaSans-Bold"/>
          <w:bCs/>
          <w:sz w:val="20"/>
          <w:szCs w:val="20"/>
          <w:u w:val="single"/>
        </w:rPr>
      </w:pPr>
    </w:p>
    <w:p w14:paraId="1235CCCF" w14:textId="77777777" w:rsidR="00540865" w:rsidRPr="00540865" w:rsidRDefault="00540865" w:rsidP="0054086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ld"/>
          <w:bCs/>
          <w:color w:val="C00000"/>
          <w:sz w:val="20"/>
          <w:szCs w:val="20"/>
        </w:rPr>
      </w:pPr>
    </w:p>
    <w:p w14:paraId="34FEDA25" w14:textId="7EEBEE01" w:rsidR="00540865" w:rsidRPr="00540865" w:rsidRDefault="00540865" w:rsidP="008F4E3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540865">
        <w:rPr>
          <w:rFonts w:ascii="Century Gothic" w:hAnsi="Century Gothic" w:cs="OfficinaSans-Book"/>
          <w:sz w:val="20"/>
          <w:szCs w:val="20"/>
        </w:rPr>
        <w:t>La production d’eau chaude sanitaire sera assurée par des ballons électriques de marque Thermor modèles RISTRETTO CARRE,</w:t>
      </w:r>
      <w:r>
        <w:rPr>
          <w:rFonts w:ascii="Century Gothic" w:hAnsi="Century Gothic" w:cs="OfficinaSans-Book"/>
          <w:sz w:val="20"/>
          <w:szCs w:val="20"/>
        </w:rPr>
        <w:t xml:space="preserve"> </w:t>
      </w:r>
      <w:r w:rsidRPr="00540865">
        <w:rPr>
          <w:rFonts w:ascii="Century Gothic" w:hAnsi="Century Gothic" w:cs="OfficinaSans-Book"/>
          <w:sz w:val="20"/>
          <w:szCs w:val="20"/>
        </w:rPr>
        <w:t xml:space="preserve">disponibles en version sur et sous évier. De format carré, au design moderne, ces produits s’intègreront facilement dans les petites espaces ou dans des placards.  </w:t>
      </w:r>
    </w:p>
    <w:p w14:paraId="30039914" w14:textId="77777777" w:rsidR="00540865" w:rsidRPr="00540865" w:rsidRDefault="00540865" w:rsidP="008F4E3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151473BA" w14:textId="239028A8" w:rsidR="00540865" w:rsidRPr="00540865" w:rsidRDefault="00540865" w:rsidP="008F4E3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540865">
        <w:rPr>
          <w:rFonts w:ascii="Century Gothic" w:hAnsi="Century Gothic" w:cs="OfficinaSans-Book"/>
          <w:sz w:val="20"/>
          <w:szCs w:val="20"/>
        </w:rPr>
        <w:t>Le chauffe-eau sera équipé d’une résistance blindée</w:t>
      </w:r>
      <w:r w:rsidRPr="00540865">
        <w:rPr>
          <w:rFonts w:ascii="Century Gothic" w:hAnsi="Century Gothic"/>
          <w:sz w:val="20"/>
          <w:szCs w:val="20"/>
        </w:rPr>
        <w:t xml:space="preserve">. </w:t>
      </w:r>
      <w:r w:rsidRPr="00540865">
        <w:rPr>
          <w:rFonts w:ascii="Century Gothic" w:hAnsi="Century Gothic" w:cs="OfficinaSans-Book"/>
          <w:sz w:val="20"/>
          <w:szCs w:val="20"/>
        </w:rPr>
        <w:t xml:space="preserve">La cuve </w:t>
      </w:r>
      <w:r w:rsidR="007B03AE" w:rsidRPr="00540865">
        <w:rPr>
          <w:rFonts w:ascii="Century Gothic" w:hAnsi="Century Gothic" w:cs="OfficinaSans-Book"/>
          <w:sz w:val="20"/>
          <w:szCs w:val="20"/>
        </w:rPr>
        <w:t>des chauffe-eaux</w:t>
      </w:r>
      <w:r w:rsidRPr="00540865">
        <w:rPr>
          <w:rFonts w:ascii="Century Gothic" w:hAnsi="Century Gothic" w:cs="OfficinaSans-Book"/>
          <w:sz w:val="20"/>
          <w:szCs w:val="20"/>
        </w:rPr>
        <w:t xml:space="preserve"> sera en acier émaillé et une anode magnésium assurera la protection anti-corrosion. Le réglage de la température se fera via une molette facilement accessible en façade et un témoin lumineux blanc indiquera que le produit est en chauffe.</w:t>
      </w:r>
    </w:p>
    <w:p w14:paraId="4CA869C8" w14:textId="77777777" w:rsidR="00540865" w:rsidRPr="00540865" w:rsidRDefault="00540865" w:rsidP="008F4E3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73EEF4DF" w14:textId="77777777" w:rsidR="00540865" w:rsidRPr="00540865" w:rsidRDefault="00540865" w:rsidP="008F4E3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540865">
        <w:rPr>
          <w:rFonts w:ascii="Century Gothic" w:hAnsi="Century Gothic" w:cs="OfficinaSans-Book"/>
          <w:sz w:val="20"/>
          <w:szCs w:val="20"/>
        </w:rPr>
        <w:t xml:space="preserve">L’appareil sera fourni avec un raccord diélectrique bimétallique (à monter sur le piquage eau chaude) et une plaque de fixation rapide au mur. </w:t>
      </w:r>
    </w:p>
    <w:p w14:paraId="3134F956" w14:textId="77777777" w:rsidR="00540865" w:rsidRPr="00540865" w:rsidRDefault="00540865" w:rsidP="008F4E3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584E287D" w14:textId="0442BE9C" w:rsidR="00540865" w:rsidRPr="00540865" w:rsidRDefault="00540865" w:rsidP="008F4E3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540865">
        <w:rPr>
          <w:rFonts w:ascii="Century Gothic" w:hAnsi="Century Gothic" w:cs="OfficinaSans-Book"/>
          <w:sz w:val="20"/>
          <w:szCs w:val="20"/>
        </w:rPr>
        <w:t>Les chauffe-eau</w:t>
      </w:r>
      <w:r w:rsidR="007B03AE">
        <w:rPr>
          <w:rFonts w:ascii="Century Gothic" w:hAnsi="Century Gothic" w:cs="OfficinaSans-Book"/>
          <w:sz w:val="20"/>
          <w:szCs w:val="20"/>
        </w:rPr>
        <w:t>x</w:t>
      </w:r>
      <w:r w:rsidRPr="00540865">
        <w:rPr>
          <w:rFonts w:ascii="Century Gothic" w:hAnsi="Century Gothic" w:cs="OfficinaSans-Book"/>
          <w:sz w:val="20"/>
          <w:szCs w:val="20"/>
        </w:rPr>
        <w:t xml:space="preserve"> RISTRETTO CARRE devront être de classe énergétique B pour le modèle 15 L sous évier, A pour le 15 L sur évier et C pour le 30 L sur évier. </w:t>
      </w:r>
    </w:p>
    <w:p w14:paraId="497431DB" w14:textId="77777777" w:rsidR="00540865" w:rsidRPr="00540865" w:rsidRDefault="00540865" w:rsidP="008F4E3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540865">
        <w:rPr>
          <w:rFonts w:ascii="Century Gothic" w:hAnsi="Century Gothic" w:cs="OfficinaSans-Book"/>
          <w:sz w:val="20"/>
          <w:szCs w:val="20"/>
        </w:rPr>
        <w:t>Ils devront également être NF Electricité.</w:t>
      </w:r>
    </w:p>
    <w:p w14:paraId="09A96E5C" w14:textId="77777777" w:rsidR="00540865" w:rsidRPr="00540865" w:rsidRDefault="00540865" w:rsidP="008F4E3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43FB840E" w14:textId="77777777" w:rsidR="00540865" w:rsidRPr="00540865" w:rsidRDefault="00540865" w:rsidP="008F4E3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540865">
        <w:rPr>
          <w:rFonts w:ascii="Century Gothic" w:hAnsi="Century Gothic" w:cs="OfficinaSans-Book"/>
          <w:sz w:val="20"/>
          <w:szCs w:val="20"/>
        </w:rPr>
        <w:t xml:space="preserve">L’indice de protection (IP) relatif à l’étanchéité sera IP 21 pour la version 15 L sous évier et IP 24 pour les versions sur évier en 15 et 30 L. </w:t>
      </w:r>
    </w:p>
    <w:p w14:paraId="2305F59D" w14:textId="77777777" w:rsidR="00540865" w:rsidRPr="00540865" w:rsidRDefault="00540865" w:rsidP="008F4E35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36AC4A6C" w14:textId="57AC338E" w:rsidR="00540865" w:rsidRPr="00540865" w:rsidRDefault="00540865" w:rsidP="008F4E35">
      <w:pPr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540865">
        <w:rPr>
          <w:rFonts w:ascii="Century Gothic" w:hAnsi="Century Gothic" w:cs="OfficinaSans-Book"/>
          <w:sz w:val="20"/>
          <w:szCs w:val="20"/>
        </w:rPr>
        <w:t xml:space="preserve">La garantie contractuelle sera de 3 ans pour la cuve et de </w:t>
      </w:r>
      <w:r w:rsidR="007B03AE" w:rsidRPr="007B03AE">
        <w:rPr>
          <w:rFonts w:ascii="Century Gothic" w:hAnsi="Century Gothic" w:cs="OfficinaSans-Book"/>
          <w:sz w:val="20"/>
          <w:szCs w:val="20"/>
          <w:highlight w:val="yellow"/>
        </w:rPr>
        <w:t>2 ans</w:t>
      </w:r>
      <w:r w:rsidRPr="00540865">
        <w:rPr>
          <w:rFonts w:ascii="Century Gothic" w:hAnsi="Century Gothic" w:cs="OfficinaSans-Book"/>
          <w:sz w:val="20"/>
          <w:szCs w:val="20"/>
        </w:rPr>
        <w:t xml:space="preserve"> pour les p</w:t>
      </w:r>
      <w:bookmarkStart w:id="1" w:name="_GoBack"/>
      <w:bookmarkEnd w:id="1"/>
      <w:r w:rsidRPr="00540865">
        <w:rPr>
          <w:rFonts w:ascii="Century Gothic" w:hAnsi="Century Gothic" w:cs="OfficinaSans-Book"/>
          <w:sz w:val="20"/>
          <w:szCs w:val="20"/>
        </w:rPr>
        <w:t>ièces électriques. Un service express en 24h de pièces détachées gratuit sera inclus dans le cadre de la garantie.</w:t>
      </w:r>
    </w:p>
    <w:p w14:paraId="0AAFE888" w14:textId="77777777" w:rsidR="00540865" w:rsidRPr="00540865" w:rsidRDefault="00540865" w:rsidP="008F4E35">
      <w:pPr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5CF7F614" w14:textId="4ACCCFA1" w:rsidR="00855C7C" w:rsidRPr="00540865" w:rsidRDefault="00540865" w:rsidP="008F4E3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40865">
        <w:rPr>
          <w:rFonts w:ascii="Century Gothic" w:hAnsi="Century Gothic" w:cs="OfficinaSans-Book"/>
          <w:sz w:val="20"/>
          <w:szCs w:val="20"/>
        </w:rPr>
        <w:t>La mise en œuvre sera réalisée selon le respect des règles de l’art en vigueur notamment suivant les normes NF C 15-100 et le DTU Plomberie 60.1.</w:t>
      </w:r>
    </w:p>
    <w:sectPr w:rsidR="00855C7C" w:rsidRPr="00540865" w:rsidSect="003C79A4">
      <w:headerReference w:type="default" r:id="rId9"/>
      <w:footerReference w:type="default" r:id="rId10"/>
      <w:pgSz w:w="11900" w:h="16840"/>
      <w:pgMar w:top="2835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07804" w14:textId="77777777" w:rsidR="00156BCC" w:rsidRDefault="00156BCC" w:rsidP="00F06159">
      <w:r>
        <w:separator/>
      </w:r>
    </w:p>
  </w:endnote>
  <w:endnote w:type="continuationSeparator" w:id="0">
    <w:p w14:paraId="33288732" w14:textId="77777777" w:rsidR="00156BCC" w:rsidRDefault="00156BCC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fficinaSans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fficina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B40A5" w14:textId="77777777"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037E5C95" w14:textId="77777777"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3E271BA2" w14:textId="46795DD6"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14:paraId="545077BC" w14:textId="7D5BEC17"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19296" w14:textId="77777777" w:rsidR="00156BCC" w:rsidRDefault="00156BCC" w:rsidP="00F06159">
      <w:r>
        <w:separator/>
      </w:r>
    </w:p>
  </w:footnote>
  <w:footnote w:type="continuationSeparator" w:id="0">
    <w:p w14:paraId="203EB69F" w14:textId="77777777" w:rsidR="00156BCC" w:rsidRDefault="00156BCC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443B" w14:textId="2EC778BE"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A602A"/>
    <w:multiLevelType w:val="hybridMultilevel"/>
    <w:tmpl w:val="29CA9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060CC"/>
    <w:multiLevelType w:val="hybridMultilevel"/>
    <w:tmpl w:val="77B2500E"/>
    <w:lvl w:ilvl="0" w:tplc="5F78F59E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OfficinaSans-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C1307"/>
    <w:rsid w:val="00156BCC"/>
    <w:rsid w:val="00231748"/>
    <w:rsid w:val="0039497C"/>
    <w:rsid w:val="003A79E2"/>
    <w:rsid w:val="003B509B"/>
    <w:rsid w:val="003C79A4"/>
    <w:rsid w:val="004360EC"/>
    <w:rsid w:val="005176AA"/>
    <w:rsid w:val="00540865"/>
    <w:rsid w:val="005B6222"/>
    <w:rsid w:val="00636885"/>
    <w:rsid w:val="0072516B"/>
    <w:rsid w:val="00764BB8"/>
    <w:rsid w:val="007861D8"/>
    <w:rsid w:val="007B03AE"/>
    <w:rsid w:val="007E114F"/>
    <w:rsid w:val="00815AC7"/>
    <w:rsid w:val="00855C7C"/>
    <w:rsid w:val="00871D93"/>
    <w:rsid w:val="00883910"/>
    <w:rsid w:val="008F4E35"/>
    <w:rsid w:val="009A3813"/>
    <w:rsid w:val="00A147AE"/>
    <w:rsid w:val="00A93973"/>
    <w:rsid w:val="00B2648F"/>
    <w:rsid w:val="00C26A33"/>
    <w:rsid w:val="00D62D36"/>
    <w:rsid w:val="00DA64B6"/>
    <w:rsid w:val="00E24BEF"/>
    <w:rsid w:val="00E86F0A"/>
    <w:rsid w:val="00F06159"/>
    <w:rsid w:val="00F35E83"/>
    <w:rsid w:val="00F46A24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584A2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4A569B-692D-439E-8CBE-730DC477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Bartosz JANKOWSKI</cp:lastModifiedBy>
  <cp:revision>6</cp:revision>
  <dcterms:created xsi:type="dcterms:W3CDTF">2020-02-11T11:02:00Z</dcterms:created>
  <dcterms:modified xsi:type="dcterms:W3CDTF">2020-03-23T16:11:00Z</dcterms:modified>
</cp:coreProperties>
</file>