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99A" w:rsidRDefault="00966D5F" w:rsidP="00966D5F">
      <w:pPr>
        <w:tabs>
          <w:tab w:val="left" w:pos="4820"/>
        </w:tabs>
        <w:spacing w:line="276" w:lineRule="auto"/>
        <w:rPr>
          <w:rFonts w:ascii="Century Gothic" w:hAnsi="Century Gothic" w:cs="Arial"/>
          <w:sz w:val="20"/>
          <w:szCs w:val="16"/>
        </w:rPr>
      </w:pPr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2310765</wp:posOffset>
            </wp:positionH>
            <wp:positionV relativeFrom="margin">
              <wp:posOffset>-1073150</wp:posOffset>
            </wp:positionV>
            <wp:extent cx="1470660" cy="165544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-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58" t="15112" r="28125" b="9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99A" w:rsidRDefault="002A799A" w:rsidP="002A799A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</w:p>
    <w:p w:rsidR="007822DD" w:rsidRDefault="007822DD" w:rsidP="00966D5F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  <w:bookmarkStart w:id="0" w:name="_Hlk32423951"/>
    </w:p>
    <w:p w:rsidR="00966D5F" w:rsidRDefault="00966D5F" w:rsidP="00966D5F">
      <w:pPr>
        <w:tabs>
          <w:tab w:val="left" w:pos="4820"/>
        </w:tabs>
        <w:spacing w:line="276" w:lineRule="auto"/>
        <w:rPr>
          <w:rFonts w:ascii="Century Gothic" w:hAnsi="Century Gothic" w:cs="Arial"/>
          <w:b/>
          <w:sz w:val="22"/>
          <w:szCs w:val="22"/>
        </w:rPr>
      </w:pPr>
    </w:p>
    <w:bookmarkEnd w:id="0"/>
    <w:p w:rsidR="00966D5F" w:rsidRDefault="00966D5F" w:rsidP="00966D5F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204B92">
        <w:rPr>
          <w:rFonts w:ascii="Century Gothic" w:hAnsi="Century Gothic" w:cs="Arial"/>
          <w:b/>
          <w:sz w:val="22"/>
          <w:szCs w:val="22"/>
        </w:rPr>
        <w:t>RADIATEUR CHALEUR DOUCE</w:t>
      </w:r>
      <w:r>
        <w:rPr>
          <w:rFonts w:ascii="Century Gothic" w:hAnsi="Century Gothic" w:cs="Arial"/>
          <w:b/>
          <w:sz w:val="22"/>
          <w:szCs w:val="22"/>
        </w:rPr>
        <w:t xml:space="preserve"> – FLUIDE CALOPORTEUR</w:t>
      </w:r>
      <w:r w:rsidRPr="00204B92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966D5F" w:rsidRPr="00AC5523" w:rsidRDefault="00FB5ED5" w:rsidP="00966D5F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>
        <w:rPr>
          <w:rFonts w:ascii="Century Gothic" w:hAnsi="Century Gothic" w:cs="Arial"/>
          <w:color w:val="FF0000"/>
          <w:sz w:val="22"/>
          <w:szCs w:val="22"/>
        </w:rPr>
        <w:t>LISBONNE 2 (</w:t>
      </w:r>
      <w:r w:rsidR="00966D5F">
        <w:rPr>
          <w:rFonts w:ascii="Century Gothic" w:hAnsi="Century Gothic" w:cs="Arial"/>
          <w:color w:val="FF0000"/>
          <w:sz w:val="22"/>
          <w:szCs w:val="22"/>
        </w:rPr>
        <w:t>FSC 2</w:t>
      </w:r>
      <w:r>
        <w:rPr>
          <w:rFonts w:ascii="Century Gothic" w:hAnsi="Century Gothic" w:cs="Arial"/>
          <w:color w:val="FF0000"/>
          <w:sz w:val="22"/>
          <w:szCs w:val="22"/>
        </w:rPr>
        <w:t>)</w:t>
      </w:r>
      <w:bookmarkStart w:id="1" w:name="_GoBack"/>
      <w:bookmarkEnd w:id="1"/>
    </w:p>
    <w:p w:rsidR="00966D5F" w:rsidRPr="00DD4CE9" w:rsidRDefault="00966D5F" w:rsidP="00966D5F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18"/>
          <w:szCs w:val="20"/>
        </w:rPr>
      </w:pPr>
    </w:p>
    <w:p w:rsidR="00966D5F" w:rsidRPr="00365813" w:rsidRDefault="00966D5F" w:rsidP="00966D5F">
      <w:pPr>
        <w:spacing w:line="276" w:lineRule="auto"/>
        <w:ind w:left="-709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 xml:space="preserve">Les émetteurs électriques seront de marque </w:t>
      </w:r>
      <w:r>
        <w:rPr>
          <w:rFonts w:ascii="Century Gothic" w:hAnsi="Century Gothic"/>
          <w:sz w:val="18"/>
          <w:szCs w:val="16"/>
        </w:rPr>
        <w:t>Thermor</w:t>
      </w:r>
      <w:r w:rsidRPr="00365813">
        <w:rPr>
          <w:rFonts w:ascii="Century Gothic" w:hAnsi="Century Gothic"/>
          <w:sz w:val="18"/>
          <w:szCs w:val="16"/>
        </w:rPr>
        <w:t xml:space="preserve">, modèle </w:t>
      </w:r>
      <w:r>
        <w:rPr>
          <w:rFonts w:ascii="Century Gothic" w:hAnsi="Century Gothic"/>
          <w:sz w:val="18"/>
          <w:szCs w:val="16"/>
        </w:rPr>
        <w:t>FSC 2</w:t>
      </w:r>
      <w:r w:rsidRPr="00365813">
        <w:rPr>
          <w:rFonts w:ascii="Century Gothic" w:hAnsi="Century Gothic"/>
          <w:sz w:val="18"/>
          <w:szCs w:val="16"/>
        </w:rPr>
        <w:t xml:space="preserve">, type radiateurs fluides et équipés du Pilotage Intelligent. </w:t>
      </w:r>
    </w:p>
    <w:p w:rsidR="00966D5F" w:rsidRPr="00365813" w:rsidRDefault="00966D5F" w:rsidP="00966D5F">
      <w:pPr>
        <w:spacing w:line="276" w:lineRule="auto"/>
        <w:ind w:left="-709"/>
        <w:jc w:val="both"/>
        <w:rPr>
          <w:rFonts w:ascii="Century Gothic" w:hAnsi="Century Gothic"/>
          <w:sz w:val="18"/>
          <w:szCs w:val="16"/>
        </w:rPr>
      </w:pPr>
    </w:p>
    <w:p w:rsidR="00966D5F" w:rsidRPr="00365813" w:rsidRDefault="00966D5F" w:rsidP="00966D5F">
      <w:pPr>
        <w:spacing w:line="276" w:lineRule="auto"/>
        <w:ind w:left="-709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Ils auront les caractéristiques suivantes :</w:t>
      </w:r>
    </w:p>
    <w:p w:rsidR="00966D5F" w:rsidRPr="00365813" w:rsidRDefault="00966D5F" w:rsidP="00966D5F">
      <w:pPr>
        <w:spacing w:line="276" w:lineRule="auto"/>
        <w:ind w:left="-709"/>
        <w:jc w:val="both"/>
        <w:rPr>
          <w:rFonts w:ascii="Century Gothic" w:hAnsi="Century Gothic"/>
          <w:sz w:val="18"/>
          <w:szCs w:val="16"/>
        </w:rPr>
      </w:pPr>
    </w:p>
    <w:p w:rsid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Technologie de chauffe en fluide caloporteur</w:t>
      </w:r>
      <w:r>
        <w:rPr>
          <w:rFonts w:ascii="Century Gothic" w:hAnsi="Century Gothic"/>
          <w:sz w:val="18"/>
          <w:szCs w:val="16"/>
        </w:rPr>
        <w:t> </w:t>
      </w:r>
      <w:r w:rsidRPr="00365813">
        <w:rPr>
          <w:rFonts w:ascii="Century Gothic" w:hAnsi="Century Gothic"/>
          <w:sz w:val="18"/>
          <w:szCs w:val="16"/>
        </w:rPr>
        <w:t>: huile minérale inaltérable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Puissances disponibles : de 500W à 2000W en format horizontal</w:t>
      </w:r>
    </w:p>
    <w:p w:rsid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Faible encombrement : 490 mm pour le modèle en 1000W</w:t>
      </w:r>
    </w:p>
    <w:p w:rsid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>
        <w:rPr>
          <w:rFonts w:ascii="Century Gothic" w:hAnsi="Century Gothic"/>
          <w:sz w:val="18"/>
          <w:szCs w:val="16"/>
        </w:rPr>
        <w:t>I</w:t>
      </w:r>
      <w:r w:rsidRPr="00365813">
        <w:rPr>
          <w:rFonts w:ascii="Century Gothic" w:hAnsi="Century Gothic"/>
          <w:sz w:val="18"/>
          <w:szCs w:val="16"/>
        </w:rPr>
        <w:t>nstallation simple et rapide</w:t>
      </w:r>
      <w:r>
        <w:rPr>
          <w:rFonts w:ascii="Century Gothic" w:hAnsi="Century Gothic"/>
          <w:sz w:val="18"/>
          <w:szCs w:val="16"/>
        </w:rPr>
        <w:t> : s</w:t>
      </w:r>
      <w:r w:rsidRPr="00365813">
        <w:rPr>
          <w:rFonts w:ascii="Century Gothic" w:hAnsi="Century Gothic"/>
          <w:sz w:val="18"/>
          <w:szCs w:val="16"/>
        </w:rPr>
        <w:t>upport mural en « H », servant de gabarit de pose</w:t>
      </w:r>
    </w:p>
    <w:p w:rsidR="00966D5F" w:rsidRPr="00217457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>
        <w:rPr>
          <w:rFonts w:ascii="Century Gothic" w:hAnsi="Century Gothic"/>
          <w:sz w:val="18"/>
          <w:szCs w:val="16"/>
        </w:rPr>
        <w:t>Cable d’alimentation : 1,5 m pour raccordement facile dans le cadre d’une réhabilitation</w:t>
      </w:r>
    </w:p>
    <w:p w:rsidR="00966D5F" w:rsidRPr="00217457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Coefficient d’aptitude de 0,1</w:t>
      </w:r>
    </w:p>
    <w:p w:rsid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Régulation électronique numérique à compensation de dérive, de précision 0,1°C</w:t>
      </w:r>
    </w:p>
    <w:p w:rsid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Boitier de commande digital tactile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Equipé du Pilotage Intelligent :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Auto-programmation : mémorisation automatique du rythme de vie.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Anticipation de la chauffe : mesure et mémorisation du temps de montée en température pour anticiper la mise en chauffe.</w:t>
      </w:r>
    </w:p>
    <w:p w:rsidR="00966D5F" w:rsidRPr="001101AF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Détection automatique d’absence et de présence</w:t>
      </w:r>
      <w:r>
        <w:rPr>
          <w:rFonts w:ascii="Century Gothic" w:hAnsi="Century Gothic"/>
          <w:sz w:val="18"/>
          <w:szCs w:val="16"/>
        </w:rPr>
        <w:t> : combinaison de la détection de mouvement (infrarouge) + d</w:t>
      </w:r>
      <w:r w:rsidRPr="001101AF">
        <w:rPr>
          <w:rFonts w:ascii="Century Gothic" w:hAnsi="Century Gothic"/>
          <w:sz w:val="18"/>
          <w:szCs w:val="16"/>
        </w:rPr>
        <w:t>étection de luminosité</w:t>
      </w:r>
      <w:r>
        <w:rPr>
          <w:rFonts w:ascii="Century Gothic" w:hAnsi="Century Gothic"/>
          <w:sz w:val="18"/>
          <w:szCs w:val="16"/>
        </w:rPr>
        <w:t xml:space="preserve">. Évite les détections nocturnes (surconsommations). </w:t>
      </w:r>
    </w:p>
    <w:p w:rsidR="00966D5F" w:rsidRPr="00217457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Détection automatique des ouvertures/fermetures de fenêtres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Programmation modifiable journalière intégrée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Indicateurs de consommation énergétique :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Indicateur de consommation visuel (échelle de couleur sur le boîtier).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Estimation de la consommation en kW et euros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Verrouillage possible des commandes et des paramètres par code PIN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Possibilité de brider la température de consigne maximale (entre 19° et 28°)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 xml:space="preserve">Fonction </w:t>
      </w:r>
      <w:r>
        <w:rPr>
          <w:rFonts w:ascii="Century Gothic" w:hAnsi="Century Gothic"/>
          <w:sz w:val="18"/>
          <w:szCs w:val="16"/>
        </w:rPr>
        <w:t>« bailleurs sociaux »</w:t>
      </w:r>
      <w:r w:rsidRPr="00365813">
        <w:rPr>
          <w:rFonts w:ascii="Century Gothic" w:hAnsi="Century Gothic"/>
          <w:sz w:val="18"/>
          <w:szCs w:val="16"/>
        </w:rPr>
        <w:t xml:space="preserve"> </w:t>
      </w:r>
      <w:r>
        <w:rPr>
          <w:rFonts w:ascii="Century Gothic" w:hAnsi="Century Gothic"/>
          <w:sz w:val="18"/>
          <w:szCs w:val="16"/>
        </w:rPr>
        <w:t>permettant d’activer</w:t>
      </w:r>
      <w:r w:rsidRPr="00365813">
        <w:rPr>
          <w:rFonts w:ascii="Century Gothic" w:hAnsi="Century Gothic"/>
          <w:sz w:val="18"/>
          <w:szCs w:val="16"/>
        </w:rPr>
        <w:t> </w:t>
      </w:r>
      <w:r>
        <w:rPr>
          <w:rFonts w:ascii="Century Gothic" w:hAnsi="Century Gothic"/>
          <w:sz w:val="18"/>
          <w:szCs w:val="16"/>
        </w:rPr>
        <w:t xml:space="preserve">en une fois les 3 fonctions suivantes </w:t>
      </w:r>
      <w:r w:rsidRPr="00365813">
        <w:rPr>
          <w:rFonts w:ascii="Century Gothic" w:hAnsi="Century Gothic"/>
          <w:sz w:val="18"/>
          <w:szCs w:val="16"/>
        </w:rPr>
        <w:t>: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Brider la température de consigne maximale de 23°C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Activer la fonction anti-chauffe compulsive : obligation de confirmer le souhait de monter au-dessus de 21°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Sécuriser l’accès au menu par code PIN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Connectable :</w:t>
      </w:r>
    </w:p>
    <w:p w:rsidR="00966D5F" w:rsidRPr="00365813" w:rsidRDefault="00966D5F" w:rsidP="00966D5F">
      <w:pPr>
        <w:numPr>
          <w:ilvl w:val="1"/>
          <w:numId w:val="1"/>
        </w:numPr>
        <w:spacing w:line="276" w:lineRule="auto"/>
        <w:ind w:left="1134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 xml:space="preserve">Pilotables à distance grâce à l’association d’une interface IO (par appareil) et d’un bridge </w:t>
      </w:r>
      <w:proofErr w:type="spellStart"/>
      <w:r w:rsidRPr="00365813">
        <w:rPr>
          <w:rFonts w:ascii="Century Gothic" w:hAnsi="Century Gothic"/>
          <w:sz w:val="18"/>
          <w:szCs w:val="16"/>
        </w:rPr>
        <w:t>Cosytouch</w:t>
      </w:r>
      <w:proofErr w:type="spellEnd"/>
      <w:r w:rsidRPr="00365813">
        <w:rPr>
          <w:rFonts w:ascii="Century Gothic" w:hAnsi="Century Gothic"/>
          <w:sz w:val="18"/>
          <w:szCs w:val="16"/>
        </w:rPr>
        <w:t xml:space="preserve"> connecté à la box internet du foyer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Fil Pilote 6 ordres compatible avec les systèmes de programmation centralisée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NF Électricité Performance - Catégorie 3 étoiles-œil, Classe II et IP 24. Eligible CEE</w:t>
      </w:r>
    </w:p>
    <w:p w:rsidR="00966D5F" w:rsidRPr="00365813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18"/>
          <w:szCs w:val="16"/>
        </w:rPr>
      </w:pPr>
      <w:r w:rsidRPr="00365813">
        <w:rPr>
          <w:rFonts w:ascii="Century Gothic" w:hAnsi="Century Gothic"/>
          <w:sz w:val="18"/>
          <w:szCs w:val="16"/>
        </w:rPr>
        <w:t>Service express 24H de pièces détachées gratuit inclus dans le cadre de la garantie contractuelle de 2 ans</w:t>
      </w:r>
    </w:p>
    <w:p w:rsidR="007822DD" w:rsidRPr="00966D5F" w:rsidRDefault="00966D5F" w:rsidP="00966D5F">
      <w:pPr>
        <w:numPr>
          <w:ilvl w:val="0"/>
          <w:numId w:val="1"/>
        </w:numPr>
        <w:spacing w:line="276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AC5523">
        <w:rPr>
          <w:rFonts w:ascii="Century Gothic" w:hAnsi="Century Gothic"/>
          <w:sz w:val="18"/>
          <w:szCs w:val="16"/>
        </w:rPr>
        <w:t>Fabrication française</w:t>
      </w:r>
    </w:p>
    <w:sectPr w:rsidR="007822DD" w:rsidRPr="00966D5F" w:rsidSect="002A799A">
      <w:headerReference w:type="default" r:id="rId12"/>
      <w:footerReference w:type="default" r:id="rId13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3F4" w:rsidRDefault="00E343F4" w:rsidP="00F06159">
      <w:r>
        <w:separator/>
      </w:r>
    </w:p>
  </w:endnote>
  <w:endnote w:type="continuationSeparator" w:id="0">
    <w:p w:rsidR="00E343F4" w:rsidRDefault="00E343F4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-Light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3F4" w:rsidRDefault="00E343F4" w:rsidP="00F06159">
      <w:r>
        <w:separator/>
      </w:r>
    </w:p>
  </w:footnote>
  <w:footnote w:type="continuationSeparator" w:id="0">
    <w:p w:rsidR="00E343F4" w:rsidRDefault="00E343F4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CCA602A"/>
    <w:multiLevelType w:val="hybridMultilevel"/>
    <w:tmpl w:val="D6B220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128FB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845"/>
    <w:rsid w:val="003C79A4"/>
    <w:rsid w:val="004360EC"/>
    <w:rsid w:val="00513673"/>
    <w:rsid w:val="005176AA"/>
    <w:rsid w:val="005D379A"/>
    <w:rsid w:val="006C40E5"/>
    <w:rsid w:val="00750AF6"/>
    <w:rsid w:val="00764BB8"/>
    <w:rsid w:val="007822DD"/>
    <w:rsid w:val="007861D8"/>
    <w:rsid w:val="00806159"/>
    <w:rsid w:val="00815AC7"/>
    <w:rsid w:val="00855C7C"/>
    <w:rsid w:val="00871D93"/>
    <w:rsid w:val="00883910"/>
    <w:rsid w:val="00963CC5"/>
    <w:rsid w:val="00966D5F"/>
    <w:rsid w:val="009A1F6C"/>
    <w:rsid w:val="00A147AE"/>
    <w:rsid w:val="00CB3F7E"/>
    <w:rsid w:val="00D54BC8"/>
    <w:rsid w:val="00D60014"/>
    <w:rsid w:val="00D62D36"/>
    <w:rsid w:val="00DA64B6"/>
    <w:rsid w:val="00DD7EDD"/>
    <w:rsid w:val="00DF11D0"/>
    <w:rsid w:val="00E343F4"/>
    <w:rsid w:val="00E86F0A"/>
    <w:rsid w:val="00EC73F8"/>
    <w:rsid w:val="00F06159"/>
    <w:rsid w:val="00F46A24"/>
    <w:rsid w:val="00FB0B00"/>
    <w:rsid w:val="00FB5ED5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3D307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257B540BED5143B1231A0B8820AA94" ma:contentTypeVersion="7" ma:contentTypeDescription="Crée un document." ma:contentTypeScope="" ma:versionID="c82b9f63641146a5431e2dcf109d9b7e">
  <xsd:schema xmlns:xsd="http://www.w3.org/2001/XMLSchema" xmlns:xs="http://www.w3.org/2001/XMLSchema" xmlns:p="http://schemas.microsoft.com/office/2006/metadata/properties" xmlns:ns2="e1c0b8f5-fcb1-4b6b-a12f-31abda059fdd" xmlns:ns3="7deefe2e-06e9-46d8-a958-7bc9996f40f2" targetNamespace="http://schemas.microsoft.com/office/2006/metadata/properties" ma:root="true" ma:fieldsID="25d45155b5203e06abec93e1e282c5fa" ns2:_="" ns3:_="">
    <xsd:import namespace="e1c0b8f5-fcb1-4b6b-a12f-31abda059fdd"/>
    <xsd:import namespace="7deefe2e-06e9-46d8-a958-7bc9996f4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0b8f5-fcb1-4b6b-a12f-31abda059f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fe2e-06e9-46d8-a958-7bc9996f40f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6FDCED-62AF-49B4-8CBC-4F8D011EE1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74BE9C-83B9-4BD7-9053-F4EFC3137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c0b8f5-fcb1-4b6b-a12f-31abda059fdd"/>
    <ds:schemaRef ds:uri="7deefe2e-06e9-46d8-a958-7bc9996f40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701C3F-F37E-4955-9A00-2DB2530BDE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9A3C80-8C71-4D22-B3BE-8934AC1A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stgthemkg</cp:lastModifiedBy>
  <cp:revision>5</cp:revision>
  <dcterms:created xsi:type="dcterms:W3CDTF">2020-02-12T17:20:00Z</dcterms:created>
  <dcterms:modified xsi:type="dcterms:W3CDTF">2021-05-31T12:18:00Z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0x01010080257B540BED5143B1231A0B8820AA94</vt:lpwstr>
  </property>
</Properties>
</file>